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22" w:rsidRPr="006C25DA" w:rsidRDefault="00640F22" w:rsidP="00640F22">
      <w:pPr>
        <w:widowControl/>
        <w:spacing w:line="480" w:lineRule="auto"/>
        <w:jc w:val="center"/>
        <w:rPr>
          <w:rFonts w:ascii="华文行楷" w:eastAsia="华文行楷" w:hAnsi="??" w:cs="宋体"/>
          <w:b/>
          <w:color w:val="FF0000"/>
          <w:kern w:val="0"/>
          <w:sz w:val="52"/>
          <w:szCs w:val="52"/>
        </w:rPr>
      </w:pPr>
      <w:r w:rsidRPr="006C25DA">
        <w:rPr>
          <w:rFonts w:ascii="华文行楷" w:eastAsia="华文行楷" w:hAnsi="??" w:cs="宋体" w:hint="eastAsia"/>
          <w:b/>
          <w:color w:val="FF0000"/>
          <w:kern w:val="0"/>
          <w:sz w:val="52"/>
          <w:szCs w:val="52"/>
        </w:rPr>
        <w:t>药</w:t>
      </w:r>
      <w:r w:rsidRPr="006C25DA">
        <w:rPr>
          <w:rFonts w:ascii="华文行楷" w:eastAsia="华文行楷" w:hAnsi="??" w:cs="宋体"/>
          <w:b/>
          <w:color w:val="FF0000"/>
          <w:kern w:val="0"/>
          <w:sz w:val="52"/>
          <w:szCs w:val="52"/>
        </w:rPr>
        <w:t xml:space="preserve"> </w:t>
      </w:r>
      <w:r w:rsidRPr="006C25DA">
        <w:rPr>
          <w:rFonts w:ascii="华文行楷" w:eastAsia="华文行楷" w:hAnsi="??" w:cs="宋体" w:hint="eastAsia"/>
          <w:b/>
          <w:color w:val="FF0000"/>
          <w:kern w:val="0"/>
          <w:sz w:val="52"/>
          <w:szCs w:val="52"/>
        </w:rPr>
        <w:t>学</w:t>
      </w:r>
      <w:r w:rsidRPr="006C25DA">
        <w:rPr>
          <w:rFonts w:ascii="华文行楷" w:eastAsia="华文行楷" w:hAnsi="??" w:cs="宋体"/>
          <w:b/>
          <w:color w:val="FF0000"/>
          <w:kern w:val="0"/>
          <w:sz w:val="52"/>
          <w:szCs w:val="52"/>
        </w:rPr>
        <w:t xml:space="preserve"> </w:t>
      </w:r>
      <w:r w:rsidRPr="006C25DA">
        <w:rPr>
          <w:rFonts w:ascii="华文行楷" w:eastAsia="华文行楷" w:hAnsi="??" w:cs="宋体" w:hint="eastAsia"/>
          <w:b/>
          <w:color w:val="FF0000"/>
          <w:kern w:val="0"/>
          <w:sz w:val="52"/>
          <w:szCs w:val="52"/>
        </w:rPr>
        <w:t>快</w:t>
      </w:r>
      <w:r w:rsidRPr="006C25DA">
        <w:rPr>
          <w:rFonts w:ascii="华文行楷" w:eastAsia="华文行楷" w:hAnsi="??" w:cs="宋体"/>
          <w:b/>
          <w:color w:val="FF0000"/>
          <w:kern w:val="0"/>
          <w:sz w:val="52"/>
          <w:szCs w:val="52"/>
        </w:rPr>
        <w:t xml:space="preserve"> </w:t>
      </w:r>
      <w:r w:rsidRPr="006C25DA">
        <w:rPr>
          <w:rFonts w:ascii="华文行楷" w:eastAsia="华文行楷" w:hAnsi="??" w:cs="宋体" w:hint="eastAsia"/>
          <w:b/>
          <w:color w:val="FF0000"/>
          <w:kern w:val="0"/>
          <w:sz w:val="52"/>
          <w:szCs w:val="52"/>
        </w:rPr>
        <w:t>讯</w:t>
      </w:r>
    </w:p>
    <w:p w:rsidR="00640F22" w:rsidRDefault="00640F22" w:rsidP="00640F22">
      <w:pPr>
        <w:widowControl/>
        <w:spacing w:line="480" w:lineRule="auto"/>
        <w:jc w:val="center"/>
        <w:rPr>
          <w:rFonts w:ascii="华文行楷" w:eastAsia="华文行楷" w:hAnsi="??" w:cs="宋体"/>
          <w:color w:val="FF0000"/>
          <w:kern w:val="0"/>
          <w:szCs w:val="21"/>
        </w:rPr>
      </w:pPr>
      <w:r w:rsidRPr="006C25DA">
        <w:rPr>
          <w:rFonts w:ascii="华文行楷" w:eastAsia="华文行楷" w:hAnsi="??" w:cs="宋体"/>
          <w:color w:val="FF0000"/>
          <w:kern w:val="0"/>
          <w:szCs w:val="21"/>
        </w:rPr>
        <w:t>201</w:t>
      </w:r>
      <w:r>
        <w:rPr>
          <w:rFonts w:ascii="华文行楷" w:eastAsia="华文行楷" w:hAnsi="??" w:cs="宋体" w:hint="eastAsia"/>
          <w:color w:val="FF0000"/>
          <w:kern w:val="0"/>
          <w:szCs w:val="21"/>
        </w:rPr>
        <w:t>7</w:t>
      </w:r>
      <w:r w:rsidRPr="006C25DA">
        <w:rPr>
          <w:rFonts w:ascii="华文行楷" w:eastAsia="华文行楷" w:hAnsi="??" w:cs="宋体" w:hint="eastAsia"/>
          <w:color w:val="FF0000"/>
          <w:kern w:val="0"/>
          <w:szCs w:val="21"/>
        </w:rPr>
        <w:t>年第</w:t>
      </w:r>
      <w:r w:rsidR="00A85B64">
        <w:rPr>
          <w:rFonts w:ascii="华文行楷" w:eastAsia="华文行楷" w:hAnsi="??" w:cs="宋体" w:hint="eastAsia"/>
          <w:color w:val="FF0000"/>
          <w:kern w:val="0"/>
          <w:szCs w:val="21"/>
        </w:rPr>
        <w:t>4</w:t>
      </w:r>
      <w:r w:rsidRPr="006C25DA">
        <w:rPr>
          <w:rFonts w:ascii="华文行楷" w:eastAsia="华文行楷" w:hAnsi="??" w:cs="宋体" w:hint="eastAsia"/>
          <w:color w:val="FF0000"/>
          <w:kern w:val="0"/>
          <w:szCs w:val="21"/>
        </w:rPr>
        <w:t>期</w:t>
      </w:r>
    </w:p>
    <w:p w:rsidR="004B6617" w:rsidRPr="008F0745" w:rsidRDefault="002D14E3" w:rsidP="002D14E3">
      <w:pPr>
        <w:widowControl/>
        <w:spacing w:line="480" w:lineRule="auto"/>
        <w:rPr>
          <w:rFonts w:ascii="Times New Roman" w:eastAsiaTheme="minorEastAsia" w:hAnsi="Times New Roman"/>
          <w:kern w:val="0"/>
          <w:sz w:val="18"/>
          <w:szCs w:val="18"/>
        </w:rPr>
      </w:pPr>
      <w:r w:rsidRPr="004B5B6B">
        <w:rPr>
          <w:rFonts w:ascii="Times New Roman" w:eastAsiaTheme="minorEastAsia" w:hAnsi="Times New Roman"/>
          <w:b/>
          <w:kern w:val="0"/>
          <w:sz w:val="18"/>
          <w:szCs w:val="18"/>
        </w:rPr>
        <w:t>编者按</w:t>
      </w:r>
      <w:r w:rsidR="00FE50EC" w:rsidRPr="004B5B6B">
        <w:rPr>
          <w:rFonts w:ascii="Times New Roman" w:eastAsiaTheme="minorEastAsia" w:hAnsi="Times New Roman"/>
          <w:b/>
          <w:kern w:val="0"/>
          <w:sz w:val="18"/>
          <w:szCs w:val="18"/>
        </w:rPr>
        <w:t>：</w:t>
      </w:r>
      <w:r w:rsidR="00FB0C58">
        <w:rPr>
          <w:rFonts w:ascii="Times New Roman" w:eastAsiaTheme="minorEastAsia" w:hAnsi="Times New Roman" w:hint="eastAsia"/>
          <w:kern w:val="0"/>
          <w:sz w:val="18"/>
          <w:szCs w:val="18"/>
        </w:rPr>
        <w:t>在</w:t>
      </w:r>
      <w:r w:rsidR="00FB0C58">
        <w:rPr>
          <w:rFonts w:ascii="Times New Roman" w:eastAsiaTheme="minorEastAsia" w:hAnsi="Times New Roman" w:hint="eastAsia"/>
          <w:kern w:val="0"/>
          <w:sz w:val="18"/>
          <w:szCs w:val="18"/>
        </w:rPr>
        <w:t>2016</w:t>
      </w:r>
      <w:r w:rsidR="00FB0C58">
        <w:rPr>
          <w:rFonts w:ascii="Times New Roman" w:eastAsiaTheme="minorEastAsia" w:hAnsi="Times New Roman" w:hint="eastAsia"/>
          <w:kern w:val="0"/>
          <w:sz w:val="18"/>
          <w:szCs w:val="18"/>
        </w:rPr>
        <w:t>年第</w:t>
      </w:r>
      <w:r w:rsidR="00FB0C58">
        <w:rPr>
          <w:rFonts w:ascii="Times New Roman" w:eastAsiaTheme="minorEastAsia" w:hAnsi="Times New Roman" w:hint="eastAsia"/>
          <w:kern w:val="0"/>
          <w:sz w:val="18"/>
          <w:szCs w:val="18"/>
        </w:rPr>
        <w:t>5</w:t>
      </w:r>
      <w:r w:rsidR="00FB0C58">
        <w:rPr>
          <w:rFonts w:ascii="Times New Roman" w:eastAsiaTheme="minorEastAsia" w:hAnsi="Times New Roman" w:hint="eastAsia"/>
          <w:kern w:val="0"/>
          <w:sz w:val="18"/>
          <w:szCs w:val="18"/>
        </w:rPr>
        <w:t>、</w:t>
      </w:r>
      <w:r w:rsidR="00FB0C58">
        <w:rPr>
          <w:rFonts w:ascii="Times New Roman" w:eastAsiaTheme="minorEastAsia" w:hAnsi="Times New Roman" w:hint="eastAsia"/>
          <w:kern w:val="0"/>
          <w:sz w:val="18"/>
          <w:szCs w:val="18"/>
        </w:rPr>
        <w:t>6</w:t>
      </w:r>
      <w:r w:rsidR="00FB0C58">
        <w:rPr>
          <w:rFonts w:ascii="Times New Roman" w:eastAsiaTheme="minorEastAsia" w:hAnsi="Times New Roman" w:hint="eastAsia"/>
          <w:kern w:val="0"/>
          <w:sz w:val="18"/>
          <w:szCs w:val="18"/>
        </w:rPr>
        <w:t>期快讯连续报道</w:t>
      </w:r>
      <w:r w:rsidR="003504E4">
        <w:rPr>
          <w:rFonts w:ascii="Times New Roman" w:eastAsiaTheme="minorEastAsia" w:hAnsi="Times New Roman" w:hint="eastAsia"/>
          <w:kern w:val="0"/>
          <w:sz w:val="18"/>
          <w:szCs w:val="18"/>
        </w:rPr>
        <w:t>FDA</w:t>
      </w:r>
      <w:r w:rsidR="00FB0C58">
        <w:rPr>
          <w:rFonts w:ascii="Times New Roman" w:eastAsiaTheme="minorEastAsia" w:hAnsi="Times New Roman" w:hint="eastAsia"/>
          <w:kern w:val="0"/>
          <w:sz w:val="18"/>
          <w:szCs w:val="18"/>
        </w:rPr>
        <w:t>由于氟喹诺酮类药物的致残风险；</w:t>
      </w:r>
      <w:r w:rsidR="00A85B64">
        <w:rPr>
          <w:rFonts w:ascii="Times New Roman" w:eastAsiaTheme="minorEastAsia" w:hAnsi="Times New Roman" w:hint="eastAsia"/>
          <w:kern w:val="0"/>
          <w:sz w:val="18"/>
          <w:szCs w:val="18"/>
        </w:rPr>
        <w:t>2017</w:t>
      </w:r>
      <w:r w:rsidR="00A85B64">
        <w:rPr>
          <w:rFonts w:ascii="Times New Roman" w:eastAsiaTheme="minorEastAsia" w:hAnsi="Times New Roman" w:hint="eastAsia"/>
          <w:kern w:val="0"/>
          <w:sz w:val="18"/>
          <w:szCs w:val="18"/>
        </w:rPr>
        <w:t>年第</w:t>
      </w:r>
      <w:r w:rsidR="00A85B64">
        <w:rPr>
          <w:rFonts w:ascii="Times New Roman" w:eastAsiaTheme="minorEastAsia" w:hAnsi="Times New Roman" w:hint="eastAsia"/>
          <w:kern w:val="0"/>
          <w:sz w:val="18"/>
          <w:szCs w:val="18"/>
        </w:rPr>
        <w:t>3</w:t>
      </w:r>
      <w:r w:rsidR="00A85B64">
        <w:rPr>
          <w:rFonts w:ascii="Times New Roman" w:eastAsiaTheme="minorEastAsia" w:hAnsi="Times New Roman" w:hint="eastAsia"/>
          <w:kern w:val="0"/>
          <w:sz w:val="18"/>
          <w:szCs w:val="18"/>
        </w:rPr>
        <w:t>期快讯也报道了</w:t>
      </w:r>
      <w:r w:rsidR="00FB0C58">
        <w:rPr>
          <w:rFonts w:ascii="Times New Roman" w:eastAsiaTheme="minorEastAsia" w:hAnsi="Times New Roman" w:hint="eastAsia"/>
          <w:kern w:val="0"/>
          <w:sz w:val="18"/>
          <w:szCs w:val="18"/>
        </w:rPr>
        <w:t>加拿大卫生部基于</w:t>
      </w:r>
      <w:r w:rsidR="00FB0C58">
        <w:rPr>
          <w:rFonts w:ascii="Times New Roman" w:eastAsiaTheme="minorEastAsia" w:hAnsi="Times New Roman" w:hint="eastAsia"/>
          <w:kern w:val="0"/>
          <w:sz w:val="18"/>
          <w:szCs w:val="18"/>
        </w:rPr>
        <w:t>FDA</w:t>
      </w:r>
      <w:r w:rsidR="00FB0C58">
        <w:rPr>
          <w:rFonts w:ascii="Times New Roman" w:eastAsiaTheme="minorEastAsia" w:hAnsi="Times New Roman" w:hint="eastAsia"/>
          <w:kern w:val="0"/>
          <w:sz w:val="18"/>
          <w:szCs w:val="18"/>
        </w:rPr>
        <w:t>的审查结果，也对氟喹诺酮类药物的副作用和致残风险也做了重新评估</w:t>
      </w:r>
      <w:r w:rsidR="00330BE9">
        <w:rPr>
          <w:rFonts w:ascii="Times New Roman" w:eastAsiaTheme="minorEastAsia" w:hAnsi="Times New Roman" w:hint="eastAsia"/>
          <w:kern w:val="0"/>
          <w:sz w:val="18"/>
          <w:szCs w:val="18"/>
        </w:rPr>
        <w:t>，</w:t>
      </w:r>
      <w:r w:rsidR="00330BE9" w:rsidRPr="00330BE9">
        <w:rPr>
          <w:rFonts w:ascii="Times New Roman"/>
          <w:color w:val="000000"/>
          <w:sz w:val="18"/>
          <w:szCs w:val="18"/>
        </w:rPr>
        <w:t>建议更新所有氟喹诺酮类药物的安全性信息</w:t>
      </w:r>
      <w:r w:rsidR="00FB0C58" w:rsidRPr="00330BE9">
        <w:rPr>
          <w:rFonts w:ascii="Times New Roman" w:eastAsiaTheme="minorEastAsia" w:hAnsi="Times New Roman" w:hint="eastAsia"/>
          <w:kern w:val="0"/>
          <w:sz w:val="18"/>
          <w:szCs w:val="18"/>
        </w:rPr>
        <w:t>。</w:t>
      </w:r>
      <w:r w:rsidR="00A85B64">
        <w:rPr>
          <w:rFonts w:ascii="Times New Roman" w:eastAsiaTheme="minorEastAsia" w:hAnsi="Times New Roman" w:hint="eastAsia"/>
          <w:kern w:val="0"/>
          <w:sz w:val="18"/>
          <w:szCs w:val="18"/>
        </w:rPr>
        <w:t>本期快讯报道新加坡药品监督管理部</w:t>
      </w:r>
      <w:r w:rsidR="00752634">
        <w:rPr>
          <w:rFonts w:ascii="Times New Roman" w:eastAsiaTheme="minorEastAsia" w:hAnsi="Times New Roman" w:hint="eastAsia"/>
          <w:kern w:val="0"/>
          <w:sz w:val="18"/>
          <w:szCs w:val="18"/>
        </w:rPr>
        <w:t>门</w:t>
      </w:r>
      <w:r w:rsidR="00A85B64">
        <w:rPr>
          <w:rFonts w:ascii="Times New Roman" w:eastAsiaTheme="minorEastAsia" w:hAnsi="Times New Roman" w:hint="eastAsia"/>
          <w:kern w:val="0"/>
          <w:sz w:val="18"/>
          <w:szCs w:val="18"/>
        </w:rPr>
        <w:t>警示氟喹诺酮类的视网膜脱离的</w:t>
      </w:r>
      <w:r w:rsidR="00F83564">
        <w:rPr>
          <w:rFonts w:ascii="Times New Roman" w:eastAsiaTheme="minorEastAsia" w:hAnsi="Times New Roman" w:hint="eastAsia"/>
          <w:kern w:val="0"/>
          <w:sz w:val="18"/>
          <w:szCs w:val="18"/>
        </w:rPr>
        <w:t>潜在</w:t>
      </w:r>
      <w:r w:rsidR="00A85B64">
        <w:rPr>
          <w:rFonts w:ascii="Times New Roman" w:eastAsiaTheme="minorEastAsia" w:hAnsi="Times New Roman" w:hint="eastAsia"/>
          <w:kern w:val="0"/>
          <w:sz w:val="18"/>
          <w:szCs w:val="18"/>
        </w:rPr>
        <w:t>风险</w:t>
      </w:r>
      <w:r w:rsidR="00743D00">
        <w:rPr>
          <w:rFonts w:ascii="Times New Roman" w:eastAsiaTheme="minorEastAsia" w:hAnsi="Times New Roman" w:hint="eastAsia"/>
          <w:kern w:val="0"/>
          <w:sz w:val="18"/>
          <w:szCs w:val="18"/>
        </w:rPr>
        <w:t>，希望临床谨慎应用</w:t>
      </w:r>
      <w:r w:rsidR="00FB0C58">
        <w:rPr>
          <w:rFonts w:ascii="Times New Roman" w:eastAsiaTheme="minorEastAsia" w:hAnsi="Times New Roman" w:hint="eastAsia"/>
          <w:kern w:val="0"/>
          <w:sz w:val="18"/>
          <w:szCs w:val="18"/>
        </w:rPr>
        <w:t>。</w:t>
      </w:r>
    </w:p>
    <w:p w:rsidR="00A85B64" w:rsidRPr="00A85B64" w:rsidRDefault="00A85B64" w:rsidP="00AA3EA4">
      <w:pPr>
        <w:widowControl/>
        <w:spacing w:line="480" w:lineRule="auto"/>
        <w:ind w:firstLineChars="200" w:firstLine="723"/>
        <w:rPr>
          <w:rFonts w:asciiTheme="majorEastAsia" w:eastAsiaTheme="majorEastAsia" w:hAnsiTheme="majorEastAsia"/>
          <w:b/>
          <w:sz w:val="36"/>
          <w:szCs w:val="36"/>
        </w:rPr>
      </w:pPr>
      <w:r w:rsidRPr="00A85B64">
        <w:rPr>
          <w:rFonts w:asciiTheme="majorEastAsia" w:eastAsiaTheme="majorEastAsia" w:hAnsiTheme="majorEastAsia" w:hint="eastAsia"/>
          <w:b/>
          <w:sz w:val="36"/>
          <w:szCs w:val="36"/>
        </w:rPr>
        <w:t>新加坡警示氟喹诺酮类药物的视网膜脱离风险</w:t>
      </w:r>
    </w:p>
    <w:p w:rsidR="00AA3EA4" w:rsidRDefault="00A85B64" w:rsidP="004D54C0">
      <w:pPr>
        <w:widowControl/>
        <w:spacing w:before="100" w:beforeAutospacing="1" w:after="100" w:afterAutospacing="1" w:line="360" w:lineRule="auto"/>
        <w:ind w:firstLineChars="200" w:firstLine="420"/>
        <w:rPr>
          <w:rFonts w:ascii="Times New Roman" w:hAnsiTheme="minorEastAsia" w:cs="宋体"/>
          <w:kern w:val="0"/>
          <w:szCs w:val="21"/>
        </w:rPr>
      </w:pPr>
      <w:r w:rsidRPr="00A85B64">
        <w:rPr>
          <w:rFonts w:ascii="Times New Roman" w:hAnsi="Times New Roman" w:cs="宋体" w:hint="eastAsia"/>
          <w:kern w:val="0"/>
          <w:szCs w:val="21"/>
        </w:rPr>
        <w:t>2016</w:t>
      </w:r>
      <w:r w:rsidRPr="00A85B64">
        <w:rPr>
          <w:rFonts w:ascii="Times New Roman" w:hAnsiTheme="minorEastAsia" w:cs="宋体" w:hint="eastAsia"/>
          <w:kern w:val="0"/>
          <w:szCs w:val="21"/>
        </w:rPr>
        <w:t>年</w:t>
      </w:r>
      <w:r w:rsidRPr="00A85B64">
        <w:rPr>
          <w:rFonts w:ascii="Times New Roman" w:hAnsi="Times New Roman" w:cs="宋体" w:hint="eastAsia"/>
          <w:kern w:val="0"/>
          <w:szCs w:val="21"/>
        </w:rPr>
        <w:t>12</w:t>
      </w:r>
      <w:r w:rsidRPr="00A85B64">
        <w:rPr>
          <w:rFonts w:ascii="Times New Roman" w:hAnsiTheme="minorEastAsia" w:cs="宋体" w:hint="eastAsia"/>
          <w:kern w:val="0"/>
          <w:szCs w:val="21"/>
        </w:rPr>
        <w:t>月，新加坡药品监督管理部门（</w:t>
      </w:r>
      <w:r w:rsidRPr="00A85B64">
        <w:rPr>
          <w:rFonts w:ascii="Times New Roman" w:hAnsi="Times New Roman" w:cs="宋体" w:hint="eastAsia"/>
          <w:kern w:val="0"/>
          <w:szCs w:val="21"/>
        </w:rPr>
        <w:t>HSA</w:t>
      </w:r>
      <w:r w:rsidRPr="00A85B64">
        <w:rPr>
          <w:rFonts w:ascii="Times New Roman" w:hAnsiTheme="minorEastAsia" w:cs="宋体"/>
          <w:kern w:val="0"/>
          <w:szCs w:val="21"/>
        </w:rPr>
        <w:t>），警告氟喹诺酮类药物的视网膜脱离的潜在风险，更新了含氟喹诺酮类产品（环丙沙星、左氧氟沙星、莫西沙星、诺氟沙星、培氟沙星、氧氟沙星和洛美沙星）的说明书，并强调使用这些产品发生视力受损或视觉障碍时需就医。氟喹诺酮类药物是广谱抗生素，具有广泛的适应症，例如尿道、呼吸道、皮肤和软组织、骨关节和腹腔的感染。</w:t>
      </w:r>
    </w:p>
    <w:p w:rsidR="00A85B64" w:rsidRPr="00A85B64" w:rsidRDefault="00A85B64" w:rsidP="004D54C0">
      <w:pPr>
        <w:widowControl/>
        <w:spacing w:before="100" w:beforeAutospacing="1" w:after="100" w:afterAutospacing="1" w:line="360" w:lineRule="auto"/>
        <w:ind w:firstLineChars="200" w:firstLine="420"/>
        <w:rPr>
          <w:rFonts w:ascii="Times New Roman" w:hAnsiTheme="minorEastAsia" w:cs="宋体"/>
          <w:kern w:val="0"/>
          <w:szCs w:val="21"/>
        </w:rPr>
      </w:pPr>
      <w:r w:rsidRPr="00A85B64">
        <w:rPr>
          <w:rFonts w:ascii="Times New Roman" w:hAnsiTheme="minorEastAsia" w:cs="宋体" w:hint="eastAsia"/>
          <w:kern w:val="0"/>
          <w:szCs w:val="21"/>
        </w:rPr>
        <w:t>几项流行病学研究已经探索研究了口服氟喹诺酮类药物和视网膜脱离事件之间的相关性。两项大型队列研究发现使用口服氟喹诺酮类药物会导致视网膜脱离风险增加，且具有显著统计学差异。在其他已发表的研究以及欧洲药品管理局（</w:t>
      </w:r>
      <w:r w:rsidRPr="00A85B64">
        <w:rPr>
          <w:rFonts w:ascii="Times New Roman" w:hAnsiTheme="minorEastAsia" w:cs="宋体" w:hint="eastAsia"/>
          <w:kern w:val="0"/>
          <w:szCs w:val="21"/>
        </w:rPr>
        <w:t>EMA</w:t>
      </w:r>
      <w:r w:rsidRPr="00A85B64">
        <w:rPr>
          <w:rFonts w:ascii="Times New Roman" w:hAnsiTheme="minorEastAsia" w:cs="宋体" w:hint="eastAsia"/>
          <w:kern w:val="0"/>
          <w:szCs w:val="21"/>
        </w:rPr>
        <w:t>）进行的评估中未确认视网膜脱离的风险增加。但是，在这些研究中大多数的风险置信区间相对较宽，因此不能排除风险小幅上升。</w:t>
      </w:r>
    </w:p>
    <w:p w:rsidR="00A85B64" w:rsidRPr="009961DD" w:rsidRDefault="00F83564" w:rsidP="00AA3EA4">
      <w:pPr>
        <w:widowControl/>
        <w:spacing w:before="100" w:beforeAutospacing="1" w:after="100" w:afterAutospacing="1" w:line="360" w:lineRule="auto"/>
        <w:ind w:firstLineChars="200" w:firstLine="420"/>
        <w:rPr>
          <w:rFonts w:ascii="Times New Roman" w:hAnsi="Times New Roman" w:cs="宋体"/>
          <w:kern w:val="0"/>
          <w:sz w:val="18"/>
          <w:szCs w:val="18"/>
        </w:rPr>
      </w:pPr>
      <w:r>
        <w:rPr>
          <w:rFonts w:ascii="Times New Roman" w:hAnsi="Times New Roman" w:cs="宋体" w:hint="eastAsia"/>
          <w:kern w:val="0"/>
          <w:szCs w:val="21"/>
        </w:rPr>
        <w:t> </w:t>
      </w:r>
      <w:r w:rsidR="00A85B64" w:rsidRPr="00A85B64">
        <w:rPr>
          <w:rFonts w:ascii="Times New Roman" w:hAnsi="Times New Roman" w:cs="宋体" w:hint="eastAsia"/>
          <w:kern w:val="0"/>
          <w:szCs w:val="21"/>
        </w:rPr>
        <w:t>HSA</w:t>
      </w:r>
      <w:r w:rsidR="00A85B64" w:rsidRPr="00A85B64">
        <w:rPr>
          <w:rFonts w:ascii="Times New Roman" w:hAnsi="微软雅黑" w:cs="宋体" w:hint="eastAsia"/>
          <w:kern w:val="0"/>
          <w:szCs w:val="21"/>
        </w:rPr>
        <w:t>未收到使用氟喹诺酮类药物导致视网膜脱离的报告，但收到了几份描述视力障碍的报告，如视力模糊、眼睛发红、瘙痒和结膜炎。由于视网膜脱离后果严重，并且不能排除与口服氟喹诺酮类药物的相关性，因此，</w:t>
      </w:r>
      <w:r w:rsidR="00A85B64" w:rsidRPr="00A85B64">
        <w:rPr>
          <w:rFonts w:ascii="Times New Roman" w:hAnsi="Times New Roman" w:cs="宋体" w:hint="eastAsia"/>
          <w:kern w:val="0"/>
          <w:szCs w:val="21"/>
        </w:rPr>
        <w:t>HSA</w:t>
      </w:r>
      <w:r w:rsidR="00A85B64" w:rsidRPr="00A85B64">
        <w:rPr>
          <w:rFonts w:ascii="Times New Roman" w:hAnsi="微软雅黑" w:cs="宋体" w:hint="eastAsia"/>
          <w:kern w:val="0"/>
          <w:szCs w:val="21"/>
        </w:rPr>
        <w:t>建议医务人员为患者处方氟喹诺酮类药物或调配药品时应考虑这种潜在风险。</w:t>
      </w:r>
      <w:r w:rsidR="009961DD" w:rsidRPr="009961DD">
        <w:rPr>
          <w:rFonts w:ascii="Times New Roman" w:hAnsi="微软雅黑" w:cs="宋体" w:hint="eastAsia"/>
          <w:kern w:val="0"/>
          <w:sz w:val="18"/>
          <w:szCs w:val="18"/>
        </w:rPr>
        <w:t>(</w:t>
      </w:r>
      <w:r w:rsidR="009961DD">
        <w:rPr>
          <w:rFonts w:ascii="Times New Roman" w:hAnsi="微软雅黑" w:cs="宋体" w:hint="eastAsia"/>
          <w:kern w:val="0"/>
          <w:sz w:val="18"/>
          <w:szCs w:val="18"/>
        </w:rPr>
        <w:t>来源</w:t>
      </w:r>
      <w:r w:rsidR="009961DD">
        <w:rPr>
          <w:rFonts w:ascii="Times New Roman" w:hAnsi="微软雅黑" w:cs="宋体" w:hint="eastAsia"/>
          <w:kern w:val="0"/>
          <w:sz w:val="18"/>
          <w:szCs w:val="18"/>
        </w:rPr>
        <w:t>:</w:t>
      </w:r>
      <w:r w:rsidR="009961DD" w:rsidRPr="009961DD">
        <w:rPr>
          <w:rFonts w:ascii="Times New Roman" w:hAnsi="微软雅黑" w:cs="宋体" w:hint="eastAsia"/>
          <w:kern w:val="0"/>
          <w:sz w:val="18"/>
          <w:szCs w:val="18"/>
        </w:rPr>
        <w:t>世界卫生组织药物通讯</w:t>
      </w:r>
      <w:r w:rsidR="009961DD" w:rsidRPr="009961DD">
        <w:rPr>
          <w:rFonts w:ascii="Times New Roman" w:hAnsi="微软雅黑" w:cs="宋体" w:hint="eastAsia"/>
          <w:kern w:val="0"/>
          <w:sz w:val="18"/>
          <w:szCs w:val="18"/>
        </w:rPr>
        <w:t>)</w:t>
      </w:r>
    </w:p>
    <w:p w:rsidR="00AC51AD" w:rsidRPr="00AC51AD" w:rsidRDefault="00AC51AD" w:rsidP="00AC51AD">
      <w:pPr>
        <w:widowControl/>
        <w:spacing w:line="480" w:lineRule="auto"/>
        <w:ind w:firstLineChars="200" w:firstLine="360"/>
        <w:rPr>
          <w:rFonts w:ascii="ˎ̥" w:hAnsi="ˎ̥" w:cs="Arial" w:hint="eastAsia"/>
          <w:color w:val="000000"/>
          <w:szCs w:val="21"/>
        </w:rPr>
      </w:pPr>
      <w:r>
        <w:rPr>
          <w:rFonts w:ascii="ˎ̥" w:hAnsi="ˎ̥" w:cs="Arial" w:hint="eastAsia"/>
          <w:color w:val="000000"/>
          <w:sz w:val="18"/>
          <w:szCs w:val="18"/>
        </w:rPr>
        <w:t xml:space="preserve">                                                          </w:t>
      </w:r>
      <w:r w:rsidRPr="00AC51AD">
        <w:rPr>
          <w:rFonts w:ascii="ˎ̥" w:hAnsi="ˎ̥" w:cs="Arial" w:hint="eastAsia"/>
          <w:color w:val="000000"/>
          <w:szCs w:val="21"/>
        </w:rPr>
        <w:t>药学部</w:t>
      </w:r>
      <w:r w:rsidR="006C3C88">
        <w:rPr>
          <w:rFonts w:ascii="ˎ̥" w:hAnsi="ˎ̥" w:cs="Arial" w:hint="eastAsia"/>
          <w:color w:val="000000"/>
          <w:szCs w:val="21"/>
        </w:rPr>
        <w:t xml:space="preserve">   </w:t>
      </w:r>
      <w:r w:rsidRPr="00AC51AD">
        <w:rPr>
          <w:rFonts w:ascii="ˎ̥" w:hAnsi="ˎ̥" w:cs="Arial" w:hint="eastAsia"/>
          <w:color w:val="000000"/>
          <w:szCs w:val="21"/>
        </w:rPr>
        <w:t>临床药学室</w:t>
      </w:r>
    </w:p>
    <w:p w:rsidR="00305325" w:rsidRPr="004D54C0" w:rsidRDefault="00AC51AD" w:rsidP="004D54C0">
      <w:pPr>
        <w:widowControl/>
        <w:spacing w:line="480" w:lineRule="auto"/>
        <w:ind w:firstLineChars="200" w:firstLine="420"/>
        <w:rPr>
          <w:rFonts w:ascii="ˎ̥" w:hAnsi="ˎ̥" w:cs="Arial" w:hint="eastAsia"/>
          <w:color w:val="000000"/>
          <w:szCs w:val="21"/>
        </w:rPr>
      </w:pPr>
      <w:r w:rsidRPr="00AC51AD">
        <w:rPr>
          <w:rFonts w:ascii="ˎ̥" w:hAnsi="ˎ̥" w:cs="Arial" w:hint="eastAsia"/>
          <w:color w:val="000000"/>
          <w:szCs w:val="21"/>
        </w:rPr>
        <w:t xml:space="preserve">                          </w:t>
      </w:r>
      <w:r>
        <w:rPr>
          <w:rFonts w:ascii="ˎ̥" w:hAnsi="ˎ̥" w:cs="Arial" w:hint="eastAsia"/>
          <w:color w:val="000000"/>
          <w:szCs w:val="21"/>
        </w:rPr>
        <w:t xml:space="preserve">                            </w:t>
      </w:r>
      <w:r w:rsidRPr="00AC51AD">
        <w:rPr>
          <w:rFonts w:ascii="ˎ̥" w:hAnsi="ˎ̥" w:cs="Arial" w:hint="eastAsia"/>
          <w:color w:val="000000"/>
          <w:szCs w:val="21"/>
        </w:rPr>
        <w:t>2017.4.2</w:t>
      </w:r>
      <w:bookmarkStart w:id="0" w:name="_Toc475979133"/>
      <w:bookmarkStart w:id="1" w:name="_Toc475979224"/>
      <w:bookmarkStart w:id="2" w:name="_Toc475980548"/>
      <w:r w:rsidR="00AA3EA4">
        <w:rPr>
          <w:rFonts w:ascii="ˎ̥" w:hAnsi="ˎ̥" w:cs="Arial" w:hint="eastAsia"/>
          <w:color w:val="000000"/>
          <w:szCs w:val="21"/>
        </w:rPr>
        <w:t>7</w:t>
      </w:r>
      <w:bookmarkEnd w:id="0"/>
      <w:bookmarkEnd w:id="1"/>
      <w:bookmarkEnd w:id="2"/>
    </w:p>
    <w:sectPr w:rsidR="00305325" w:rsidRPr="004D54C0" w:rsidSect="004360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0C0" w:rsidRDefault="003510C0" w:rsidP="00640F22">
      <w:r>
        <w:separator/>
      </w:r>
    </w:p>
  </w:endnote>
  <w:endnote w:type="continuationSeparator" w:id="1">
    <w:p w:rsidR="003510C0" w:rsidRDefault="003510C0" w:rsidP="00640F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0C0" w:rsidRDefault="003510C0" w:rsidP="00640F22">
      <w:r>
        <w:separator/>
      </w:r>
    </w:p>
  </w:footnote>
  <w:footnote w:type="continuationSeparator" w:id="1">
    <w:p w:rsidR="003510C0" w:rsidRDefault="003510C0" w:rsidP="00640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0F22"/>
    <w:rsid w:val="00001177"/>
    <w:rsid w:val="000707C9"/>
    <w:rsid w:val="000947CD"/>
    <w:rsid w:val="00135057"/>
    <w:rsid w:val="001601F4"/>
    <w:rsid w:val="00187B21"/>
    <w:rsid w:val="001956BC"/>
    <w:rsid w:val="002943B5"/>
    <w:rsid w:val="002D14E3"/>
    <w:rsid w:val="00305325"/>
    <w:rsid w:val="00330BE9"/>
    <w:rsid w:val="00344699"/>
    <w:rsid w:val="003504E4"/>
    <w:rsid w:val="003510C0"/>
    <w:rsid w:val="00367CE3"/>
    <w:rsid w:val="004360A2"/>
    <w:rsid w:val="004B0392"/>
    <w:rsid w:val="004B5B6B"/>
    <w:rsid w:val="004B6617"/>
    <w:rsid w:val="004D54C0"/>
    <w:rsid w:val="005A3BD0"/>
    <w:rsid w:val="00640F22"/>
    <w:rsid w:val="00686736"/>
    <w:rsid w:val="00697DC2"/>
    <w:rsid w:val="006B555B"/>
    <w:rsid w:val="006C3C88"/>
    <w:rsid w:val="006F4C80"/>
    <w:rsid w:val="00743D00"/>
    <w:rsid w:val="00752634"/>
    <w:rsid w:val="00782E05"/>
    <w:rsid w:val="007921A1"/>
    <w:rsid w:val="007B2F08"/>
    <w:rsid w:val="008549C3"/>
    <w:rsid w:val="008F0745"/>
    <w:rsid w:val="009961DD"/>
    <w:rsid w:val="009B379D"/>
    <w:rsid w:val="00A85B64"/>
    <w:rsid w:val="00AA3EA4"/>
    <w:rsid w:val="00AC4A85"/>
    <w:rsid w:val="00AC51AD"/>
    <w:rsid w:val="00AD4AB9"/>
    <w:rsid w:val="00B47664"/>
    <w:rsid w:val="00C15442"/>
    <w:rsid w:val="00CE58DD"/>
    <w:rsid w:val="00D550D2"/>
    <w:rsid w:val="00D94CC8"/>
    <w:rsid w:val="00DB6365"/>
    <w:rsid w:val="00DD65DC"/>
    <w:rsid w:val="00DF544E"/>
    <w:rsid w:val="00F21276"/>
    <w:rsid w:val="00F64FA1"/>
    <w:rsid w:val="00F83564"/>
    <w:rsid w:val="00FA69BB"/>
    <w:rsid w:val="00FB0C58"/>
    <w:rsid w:val="00FE50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F22"/>
    <w:pPr>
      <w:widowControl w:val="0"/>
      <w:jc w:val="both"/>
    </w:pPr>
    <w:rPr>
      <w:rFonts w:ascii="Calibri" w:eastAsia="宋体" w:hAnsi="Calibri" w:cs="Times New Roman"/>
    </w:rPr>
  </w:style>
  <w:style w:type="paragraph" w:styleId="1">
    <w:name w:val="heading 1"/>
    <w:basedOn w:val="a"/>
    <w:link w:val="1Char"/>
    <w:uiPriority w:val="9"/>
    <w:qFormat/>
    <w:rsid w:val="005A3BD0"/>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0F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0F22"/>
    <w:rPr>
      <w:sz w:val="18"/>
      <w:szCs w:val="18"/>
    </w:rPr>
  </w:style>
  <w:style w:type="paragraph" w:styleId="a4">
    <w:name w:val="footer"/>
    <w:basedOn w:val="a"/>
    <w:link w:val="Char0"/>
    <w:uiPriority w:val="99"/>
    <w:semiHidden/>
    <w:unhideWhenUsed/>
    <w:rsid w:val="00640F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0F22"/>
    <w:rPr>
      <w:sz w:val="18"/>
      <w:szCs w:val="18"/>
    </w:rPr>
  </w:style>
  <w:style w:type="character" w:styleId="a5">
    <w:name w:val="Strong"/>
    <w:uiPriority w:val="22"/>
    <w:qFormat/>
    <w:rsid w:val="00697DC2"/>
    <w:rPr>
      <w:b/>
      <w:bCs/>
    </w:rPr>
  </w:style>
  <w:style w:type="paragraph" w:styleId="a6">
    <w:name w:val="Normal (Web)"/>
    <w:basedOn w:val="a"/>
    <w:uiPriority w:val="99"/>
    <w:unhideWhenUsed/>
    <w:rsid w:val="00697DC2"/>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5A3BD0"/>
    <w:rPr>
      <w:rFonts w:ascii="宋体" w:eastAsia="宋体" w:hAnsi="宋体"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3963845">
      <w:bodyDiv w:val="1"/>
      <w:marLeft w:val="0"/>
      <w:marRight w:val="0"/>
      <w:marTop w:val="0"/>
      <w:marBottom w:val="0"/>
      <w:divBdr>
        <w:top w:val="none" w:sz="0" w:space="0" w:color="auto"/>
        <w:left w:val="none" w:sz="0" w:space="0" w:color="auto"/>
        <w:bottom w:val="none" w:sz="0" w:space="0" w:color="auto"/>
        <w:right w:val="none" w:sz="0" w:space="0" w:color="auto"/>
      </w:divBdr>
      <w:divsChild>
        <w:div w:id="263730540">
          <w:marLeft w:val="0"/>
          <w:marRight w:val="0"/>
          <w:marTop w:val="0"/>
          <w:marBottom w:val="0"/>
          <w:divBdr>
            <w:top w:val="none" w:sz="0" w:space="0" w:color="auto"/>
            <w:left w:val="none" w:sz="0" w:space="0" w:color="auto"/>
            <w:bottom w:val="none" w:sz="0" w:space="0" w:color="auto"/>
            <w:right w:val="none" w:sz="0" w:space="0" w:color="auto"/>
          </w:divBdr>
          <w:divsChild>
            <w:div w:id="1974405668">
              <w:marLeft w:val="0"/>
              <w:marRight w:val="0"/>
              <w:marTop w:val="0"/>
              <w:marBottom w:val="0"/>
              <w:divBdr>
                <w:top w:val="none" w:sz="0" w:space="0" w:color="auto"/>
                <w:left w:val="none" w:sz="0" w:space="0" w:color="auto"/>
                <w:bottom w:val="none" w:sz="0" w:space="0" w:color="auto"/>
                <w:right w:val="none" w:sz="0" w:space="0" w:color="auto"/>
              </w:divBdr>
              <w:divsChild>
                <w:div w:id="191040002">
                  <w:marLeft w:val="0"/>
                  <w:marRight w:val="0"/>
                  <w:marTop w:val="0"/>
                  <w:marBottom w:val="0"/>
                  <w:divBdr>
                    <w:top w:val="none" w:sz="0" w:space="0" w:color="auto"/>
                    <w:left w:val="none" w:sz="0" w:space="0" w:color="auto"/>
                    <w:bottom w:val="none" w:sz="0" w:space="0" w:color="auto"/>
                    <w:right w:val="none" w:sz="0" w:space="0" w:color="auto"/>
                  </w:divBdr>
                  <w:divsChild>
                    <w:div w:id="1164321448">
                      <w:marLeft w:val="0"/>
                      <w:marRight w:val="0"/>
                      <w:marTop w:val="0"/>
                      <w:marBottom w:val="0"/>
                      <w:divBdr>
                        <w:top w:val="none" w:sz="0" w:space="0" w:color="auto"/>
                        <w:left w:val="none" w:sz="0" w:space="0" w:color="auto"/>
                        <w:bottom w:val="none" w:sz="0" w:space="0" w:color="auto"/>
                        <w:right w:val="none" w:sz="0" w:space="0" w:color="auto"/>
                      </w:divBdr>
                      <w:divsChild>
                        <w:div w:id="913588590">
                          <w:marLeft w:val="0"/>
                          <w:marRight w:val="0"/>
                          <w:marTop w:val="0"/>
                          <w:marBottom w:val="0"/>
                          <w:divBdr>
                            <w:top w:val="none" w:sz="0" w:space="0" w:color="auto"/>
                            <w:left w:val="none" w:sz="0" w:space="0" w:color="auto"/>
                            <w:bottom w:val="none" w:sz="0" w:space="0" w:color="auto"/>
                            <w:right w:val="none" w:sz="0" w:space="0" w:color="auto"/>
                          </w:divBdr>
                          <w:divsChild>
                            <w:div w:id="2085294002">
                              <w:marLeft w:val="0"/>
                              <w:marRight w:val="0"/>
                              <w:marTop w:val="0"/>
                              <w:marBottom w:val="0"/>
                              <w:divBdr>
                                <w:top w:val="none" w:sz="0" w:space="0" w:color="auto"/>
                                <w:left w:val="none" w:sz="0" w:space="0" w:color="auto"/>
                                <w:bottom w:val="none" w:sz="0" w:space="0" w:color="auto"/>
                                <w:right w:val="none" w:sz="0" w:space="0" w:color="auto"/>
                              </w:divBdr>
                              <w:divsChild>
                                <w:div w:id="9975416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122</Words>
  <Characters>702</Characters>
  <Application>Microsoft Office Word</Application>
  <DocSecurity>0</DocSecurity>
  <Lines>5</Lines>
  <Paragraphs>1</Paragraphs>
  <ScaleCrop>false</ScaleCrop>
  <Company>CHINA</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41</cp:revision>
  <dcterms:created xsi:type="dcterms:W3CDTF">2017-03-02T02:37:00Z</dcterms:created>
  <dcterms:modified xsi:type="dcterms:W3CDTF">2017-04-27T03:20:00Z</dcterms:modified>
</cp:coreProperties>
</file>